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4563" cy="6240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563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  <w:t>July 1, </w:t>
      </w:r>
      <w:r>
        <w:rPr>
          <w:b/>
          <w:spacing w:val="-4"/>
          <w:sz w:val="24"/>
        </w:rPr>
        <w:t>2024</w:t>
      </w:r>
    </w:p>
    <w:p>
      <w:pPr>
        <w:pStyle w:val="BodyText"/>
        <w:rPr>
          <w:b/>
        </w:rPr>
      </w:pPr>
    </w:p>
    <w:p>
      <w:pPr>
        <w:pStyle w:val="Heading1"/>
        <w:rPr>
          <w:u w:val="none"/>
        </w:rPr>
      </w:pPr>
      <w:r>
        <w:rPr>
          <w:u w:val="single"/>
        </w:rPr>
        <w:t>OPERATIONS</w:t>
      </w:r>
      <w:r>
        <w:rPr>
          <w:spacing w:val="-9"/>
          <w:u w:val="single"/>
        </w:rPr>
        <w:t> </w:t>
      </w:r>
      <w:r>
        <w:rPr>
          <w:u w:val="single"/>
        </w:rPr>
        <w:t>MEMORANDUM</w:t>
      </w:r>
      <w:r>
        <w:rPr>
          <w:spacing w:val="-7"/>
          <w:u w:val="single"/>
        </w:rPr>
        <w:t> </w:t>
      </w:r>
      <w:r>
        <w:rPr>
          <w:u w:val="single"/>
        </w:rPr>
        <w:t>#24-07-</w:t>
      </w:r>
      <w:r>
        <w:rPr>
          <w:spacing w:val="-5"/>
          <w:u w:val="single"/>
        </w:rPr>
        <w:t>01</w:t>
      </w:r>
    </w:p>
    <w:p>
      <w:pPr>
        <w:pStyle w:val="BodyText"/>
        <w:rPr>
          <w:b/>
        </w:rPr>
      </w:pPr>
    </w:p>
    <w:p>
      <w:pPr>
        <w:pStyle w:val="BodyText"/>
        <w:tabs>
          <w:tab w:pos="1559" w:val="left" w:leader="none"/>
        </w:tabs>
        <w:ind w:left="1559" w:right="813" w:hanging="1440"/>
      </w:pPr>
      <w:r>
        <w:rPr>
          <w:b/>
          <w:spacing w:val="-2"/>
        </w:rPr>
        <w:t>SUBJECT:</w:t>
      </w:r>
      <w:r>
        <w:rPr>
          <w:b/>
        </w:rPr>
        <w:tab/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Unwinding</w:t>
      </w:r>
      <w:r>
        <w:rPr>
          <w:spacing w:val="-8"/>
        </w:rPr>
        <w:t> </w:t>
      </w:r>
      <w:r>
        <w:rPr/>
        <w:t>Period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Coronavirus</w:t>
      </w:r>
      <w:r>
        <w:rPr>
          <w:spacing w:val="-4"/>
        </w:rPr>
        <w:t> </w:t>
      </w:r>
      <w:r>
        <w:rPr/>
        <w:t>(COVID-19)</w:t>
      </w:r>
      <w:r>
        <w:rPr>
          <w:spacing w:val="-5"/>
        </w:rPr>
        <w:t> </w:t>
      </w:r>
      <w:r>
        <w:rPr/>
        <w:t>Public Health Emergency (PHE) and Return to Normal Processing</w:t>
      </w:r>
    </w:p>
    <w:p>
      <w:pPr>
        <w:pStyle w:val="BodyText"/>
      </w:pPr>
    </w:p>
    <w:p>
      <w:pPr>
        <w:pStyle w:val="BodyText"/>
        <w:tabs>
          <w:tab w:pos="1559" w:val="left" w:leader="none"/>
        </w:tabs>
        <w:ind w:left="119"/>
      </w:pPr>
      <w:r>
        <w:rPr>
          <w:b/>
          <w:spacing w:val="-5"/>
        </w:rPr>
        <w:t>TO:</w:t>
      </w:r>
      <w:r>
        <w:rPr>
          <w:b/>
        </w:rPr>
        <w:tab/>
      </w:r>
      <w:r>
        <w:rPr/>
        <w:t>Executive</w:t>
      </w:r>
      <w:r>
        <w:rPr>
          <w:spacing w:val="-5"/>
        </w:rPr>
        <w:t> </w:t>
      </w:r>
      <w:r>
        <w:rPr>
          <w:spacing w:val="-2"/>
        </w:rPr>
        <w:t>Directors</w:t>
      </w:r>
    </w:p>
    <w:p>
      <w:pPr>
        <w:pStyle w:val="BodyText"/>
      </w:pPr>
    </w:p>
    <w:p>
      <w:pPr>
        <w:tabs>
          <w:tab w:pos="1559" w:val="left" w:leader="none"/>
        </w:tabs>
        <w:spacing w:before="0"/>
        <w:ind w:left="1559" w:right="6493" w:hanging="1440"/>
        <w:jc w:val="left"/>
        <w:rPr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</w:r>
      <w:r>
        <w:rPr>
          <w:sz w:val="24"/>
        </w:rPr>
        <w:t>Robert</w:t>
      </w:r>
      <w:r>
        <w:rPr>
          <w:spacing w:val="-17"/>
          <w:sz w:val="24"/>
        </w:rPr>
        <w:t> </w:t>
      </w:r>
      <w:r>
        <w:rPr>
          <w:sz w:val="24"/>
        </w:rPr>
        <w:t>Hixson </w:t>
      </w:r>
      <w:r>
        <w:rPr>
          <w:spacing w:val="-2"/>
          <w:sz w:val="24"/>
        </w:rPr>
        <w:t>Director</w:t>
      </w:r>
    </w:p>
    <w:p>
      <w:pPr>
        <w:pStyle w:val="BodyText"/>
        <w:ind w:left="1559"/>
      </w:pP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Operations</w:t>
      </w:r>
    </w:p>
    <w:p>
      <w:pPr>
        <w:pStyle w:val="BodyText"/>
      </w:pP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PURPOSE</w:t>
      </w:r>
    </w:p>
    <w:p>
      <w:pPr>
        <w:pStyle w:val="BodyText"/>
        <w:rPr>
          <w:b/>
        </w:rPr>
      </w:pPr>
    </w:p>
    <w:p>
      <w:pPr>
        <w:pStyle w:val="BodyText"/>
        <w:ind w:left="119" w:right="117" w:firstLine="720"/>
      </w:pPr>
      <w:r>
        <w:rPr/>
        <w:t>To inform County Assistance Offices (CAOs) that the unwinding period referenced in Operations Memorandum (Ops Memo) 23-03-03 is ending on June 30, 2024,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CAOs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return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normal</w:t>
      </w:r>
      <w:r>
        <w:rPr>
          <w:spacing w:val="-4"/>
        </w:rPr>
        <w:t> </w:t>
      </w:r>
      <w:r>
        <w:rPr/>
        <w:t>Medical</w:t>
      </w:r>
      <w:r>
        <w:rPr>
          <w:spacing w:val="-6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(MA)</w:t>
      </w:r>
      <w:r>
        <w:rPr>
          <w:spacing w:val="-4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July 1, 2024.</w:t>
      </w:r>
    </w:p>
    <w:p>
      <w:pPr>
        <w:pStyle w:val="BodyText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BACKGROUND</w:t>
      </w:r>
    </w:p>
    <w:p>
      <w:pPr>
        <w:pStyle w:val="BodyText"/>
        <w:spacing w:before="276"/>
        <w:ind w:left="119" w:right="158" w:firstLine="720"/>
      </w:pPr>
      <w:r>
        <w:rPr>
          <w:color w:val="040B28"/>
        </w:rPr>
        <w:t>The Consolidated Appropriations Act, 2023, delinked the end of the MA continuous coverage requirement from the end of the COVID-19 PHE</w:t>
      </w:r>
      <w:r>
        <w:rPr>
          <w:color w:val="1F1F1F"/>
        </w:rPr>
        <w:t>.</w:t>
      </w:r>
      <w:r>
        <w:rPr>
          <w:color w:val="1F1F1F"/>
          <w:spacing w:val="40"/>
        </w:rPr>
        <w:t> </w:t>
      </w:r>
      <w:r>
        <w:rPr/>
        <w:t>Consequently, the continuous coverage requirement ended on March 31, 2023.</w:t>
      </w:r>
      <w:r>
        <w:rPr>
          <w:spacing w:val="40"/>
        </w:rPr>
        <w:t> </w:t>
      </w:r>
      <w:r>
        <w:rPr/>
        <w:t>Guidance from the Centers for Medicare and Medicaid Services (CMS) explained that anyone whose MA was</w:t>
      </w:r>
      <w:r>
        <w:rPr>
          <w:spacing w:val="-1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continuous</w:t>
      </w:r>
      <w:r>
        <w:rPr>
          <w:spacing w:val="-1"/>
        </w:rPr>
        <w:t> </w:t>
      </w:r>
      <w:r>
        <w:rPr/>
        <w:t>coverage requirement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 closed until</w:t>
      </w:r>
      <w:r>
        <w:rPr>
          <w:spacing w:val="-1"/>
        </w:rPr>
        <w:t> </w:t>
      </w:r>
      <w:r>
        <w:rPr/>
        <w:t>a full renewal was processed.</w:t>
      </w:r>
      <w:r>
        <w:rPr>
          <w:spacing w:val="40"/>
        </w:rPr>
        <w:t> </w:t>
      </w:r>
      <w:r>
        <w:rPr/>
        <w:t>CMS</w:t>
      </w:r>
      <w:r>
        <w:rPr>
          <w:spacing w:val="-1"/>
        </w:rPr>
        <w:t> </w:t>
      </w:r>
      <w:r>
        <w:rPr/>
        <w:t>gave states a 12-month unwinding period to process renewals for individuals who were maintained in MA, including Long-Term Care (LTC) facility and Home and Community-Based Services (HCBS).</w:t>
      </w:r>
      <w:r>
        <w:rPr>
          <w:spacing w:val="40"/>
        </w:rPr>
        <w:t> </w:t>
      </w:r>
      <w:r>
        <w:rPr/>
        <w:t>To accommodate remaining</w:t>
      </w:r>
      <w:r>
        <w:rPr>
          <w:spacing w:val="-3"/>
        </w:rPr>
        <w:t> </w:t>
      </w:r>
      <w:r>
        <w:rPr/>
        <w:t>unwinding</w:t>
      </w:r>
      <w:r>
        <w:rPr>
          <w:spacing w:val="-3"/>
        </w:rPr>
        <w:t> </w:t>
      </w:r>
      <w:r>
        <w:rPr/>
        <w:t>renewals</w:t>
      </w:r>
      <w:r>
        <w:rPr>
          <w:spacing w:val="-6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clean-up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unwinding, states were allowed to continue unwinding renewal processing until June 30, 2024.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DISCUSSION</w:t>
      </w:r>
    </w:p>
    <w:p>
      <w:pPr>
        <w:pStyle w:val="BodyText"/>
        <w:rPr>
          <w:b/>
        </w:rPr>
      </w:pPr>
    </w:p>
    <w:p>
      <w:pPr>
        <w:pStyle w:val="BodyText"/>
        <w:ind w:left="120" w:right="195" w:firstLine="720"/>
      </w:pPr>
      <w:r>
        <w:rPr/>
        <w:t>Effective July 1, 2024, the policies and procedures related to the continuous coverage requirement that were addressed in Ops Memo 23-03-03 will be obsolete.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sections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Ops</w:t>
      </w:r>
      <w:r>
        <w:rPr>
          <w:spacing w:val="-3"/>
        </w:rPr>
        <w:t> </w:t>
      </w:r>
      <w:r>
        <w:rPr/>
        <w:t>Memo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outline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normal</w:t>
      </w:r>
      <w:r>
        <w:rPr>
          <w:spacing w:val="-3"/>
        </w:rPr>
        <w:t> </w:t>
      </w:r>
      <w:r>
        <w:rPr/>
        <w:t>processing.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4"/>
        <w:rPr>
          <w:sz w:val="16"/>
        </w:rPr>
      </w:pPr>
    </w:p>
    <w:p>
      <w:pPr>
        <w:spacing w:line="195" w:lineRule="exact" w:before="0"/>
        <w:ind w:left="20" w:right="5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Department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Human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Services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Office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Income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pacing w:val="-2"/>
          <w:sz w:val="16"/>
        </w:rPr>
        <w:t>Maintenance</w:t>
      </w:r>
    </w:p>
    <w:p>
      <w:pPr>
        <w:spacing w:line="195" w:lineRule="exact" w:before="0"/>
        <w:ind w:left="20" w:right="0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433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Health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Welfare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Building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Harrisburg,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PA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17120</w:t>
      </w:r>
      <w:r>
        <w:rPr>
          <w:rFonts w:ascii="Calibri"/>
          <w:spacing w:val="-4"/>
          <w:sz w:val="16"/>
        </w:rPr>
        <w:t> </w:t>
      </w:r>
      <w:hyperlink r:id="rId6">
        <w:r>
          <w:rPr>
            <w:rFonts w:ascii="Calibri"/>
            <w:spacing w:val="-2"/>
            <w:sz w:val="16"/>
          </w:rPr>
          <w:t>www.dhs.pa.gov</w:t>
        </w:r>
      </w:hyperlink>
    </w:p>
    <w:p>
      <w:pPr>
        <w:spacing w:after="0" w:line="195" w:lineRule="exact"/>
        <w:jc w:val="center"/>
        <w:rPr>
          <w:rFonts w:ascii="Calibri"/>
          <w:sz w:val="16"/>
        </w:rPr>
        <w:sectPr>
          <w:type w:val="continuous"/>
          <w:pgSz w:w="12240" w:h="15840"/>
          <w:pgMar w:top="720" w:bottom="280" w:left="1320" w:right="1340"/>
        </w:sectPr>
      </w:pPr>
    </w:p>
    <w:p>
      <w:pPr>
        <w:pStyle w:val="BodyText"/>
        <w:spacing w:before="151"/>
        <w:rPr>
          <w:rFonts w:ascii="Calibri"/>
        </w:rPr>
      </w:pPr>
    </w:p>
    <w:p>
      <w:pPr>
        <w:pStyle w:val="Heading2"/>
        <w:rPr>
          <w:u w:val="none"/>
        </w:rPr>
      </w:pPr>
      <w:r>
        <w:rPr>
          <w:u w:val="single"/>
        </w:rPr>
        <w:t>System</w:t>
      </w:r>
      <w:r>
        <w:rPr>
          <w:spacing w:val="-3"/>
          <w:u w:val="single"/>
        </w:rPr>
        <w:t> </w:t>
      </w:r>
      <w:r>
        <w:rPr>
          <w:u w:val="single"/>
        </w:rPr>
        <w:t>Changes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6"/>
          <w:u w:val="single"/>
        </w:rPr>
        <w:t> </w:t>
      </w:r>
      <w:r>
        <w:rPr>
          <w:u w:val="single"/>
        </w:rPr>
        <w:t>Remove</w:t>
      </w:r>
      <w:r>
        <w:rPr>
          <w:spacing w:val="-2"/>
          <w:u w:val="single"/>
        </w:rPr>
        <w:t> </w:t>
      </w:r>
      <w:r>
        <w:rPr>
          <w:u w:val="single"/>
        </w:rPr>
        <w:t>COVID-19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Logic</w:t>
      </w:r>
    </w:p>
    <w:p>
      <w:pPr>
        <w:pStyle w:val="BodyText"/>
        <w:rPr>
          <w:b/>
        </w:rPr>
      </w:pPr>
    </w:p>
    <w:p>
      <w:pPr>
        <w:pStyle w:val="BodyText"/>
        <w:ind w:left="120" w:right="114" w:firstLine="720"/>
        <w:jc w:val="both"/>
      </w:pPr>
      <w:r>
        <w:rPr/>
        <w:t>System logic</w:t>
      </w:r>
      <w:r>
        <w:rPr>
          <w:spacing w:val="-1"/>
        </w:rPr>
        <w:t> </w:t>
      </w:r>
      <w:r>
        <w:rPr/>
        <w:t>preventing maintained individuals from closing until a full renewal is processed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removed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renewal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every</w:t>
      </w:r>
      <w:r>
        <w:rPr>
          <w:spacing w:val="-3"/>
        </w:rPr>
        <w:t> </w:t>
      </w:r>
      <w:r>
        <w:rPr/>
        <w:t>maintained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processed.</w:t>
      </w:r>
      <w:r>
        <w:rPr>
          <w:spacing w:val="40"/>
        </w:rPr>
        <w:t> </w:t>
      </w:r>
      <w:r>
        <w:rPr/>
        <w:t>The new system logic will contain the following changes: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1" w:after="0"/>
        <w:ind w:left="1199" w:right="0" w:hanging="359"/>
        <w:jc w:val="left"/>
        <w:rPr>
          <w:sz w:val="24"/>
        </w:rPr>
      </w:pPr>
      <w:r>
        <w:rPr>
          <w:sz w:val="24"/>
          <w:u w:val="single"/>
        </w:rPr>
        <w:t>Case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Summary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Screen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23" w:lineRule="auto" w:before="0" w:after="0"/>
        <w:ind w:left="1920" w:right="77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“PHE</w:t>
      </w:r>
      <w:r>
        <w:rPr>
          <w:spacing w:val="-3"/>
          <w:sz w:val="24"/>
        </w:rPr>
        <w:t> </w:t>
      </w:r>
      <w:r>
        <w:rPr>
          <w:sz w:val="24"/>
        </w:rPr>
        <w:t>Retained”</w:t>
      </w:r>
      <w:r>
        <w:rPr>
          <w:spacing w:val="-5"/>
          <w:sz w:val="24"/>
        </w:rPr>
        <w:t> </w:t>
      </w:r>
      <w:r>
        <w:rPr>
          <w:sz w:val="24"/>
        </w:rPr>
        <w:t>column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appear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“Current Household Individuals” panel.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  <w:u w:val="single"/>
        </w:rPr>
        <w:t>Eligibility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Result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Summary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Screen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23" w:lineRule="auto" w:before="0" w:after="0"/>
        <w:ind w:left="1920" w:right="125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green</w:t>
      </w:r>
      <w:r>
        <w:rPr>
          <w:spacing w:val="-6"/>
          <w:sz w:val="24"/>
        </w:rPr>
        <w:t> </w:t>
      </w:r>
      <w:r>
        <w:rPr>
          <w:sz w:val="24"/>
        </w:rPr>
        <w:t>edit</w:t>
      </w:r>
      <w:r>
        <w:rPr>
          <w:spacing w:val="-7"/>
          <w:sz w:val="24"/>
        </w:rPr>
        <w:t> </w:t>
      </w:r>
      <w:r>
        <w:rPr>
          <w:sz w:val="24"/>
        </w:rPr>
        <w:t>message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screen</w:t>
      </w:r>
      <w:r>
        <w:rPr>
          <w:spacing w:val="-4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COVID-19 maintained individuals will no longer appear.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  <w:u w:val="single"/>
        </w:rPr>
        <w:t>Case</w:t>
      </w:r>
      <w:r>
        <w:rPr>
          <w:spacing w:val="-2"/>
          <w:sz w:val="24"/>
          <w:u w:val="single"/>
        </w:rPr>
        <w:t> Narrative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23" w:lineRule="auto" w:before="0" w:after="0"/>
        <w:ind w:left="1919" w:right="361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automatic</w:t>
      </w:r>
      <w:r>
        <w:rPr>
          <w:spacing w:val="-6"/>
          <w:sz w:val="24"/>
        </w:rPr>
        <w:t> </w:t>
      </w:r>
      <w:r>
        <w:rPr>
          <w:sz w:val="24"/>
        </w:rPr>
        <w:t>case</w:t>
      </w:r>
      <w:r>
        <w:rPr>
          <w:spacing w:val="-5"/>
          <w:sz w:val="24"/>
        </w:rPr>
        <w:t> </w:t>
      </w:r>
      <w:r>
        <w:rPr>
          <w:sz w:val="24"/>
        </w:rPr>
        <w:t>comment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COVID-19</w:t>
      </w:r>
      <w:r>
        <w:rPr>
          <w:spacing w:val="-5"/>
          <w:sz w:val="24"/>
        </w:rPr>
        <w:t> </w:t>
      </w:r>
      <w:r>
        <w:rPr>
          <w:sz w:val="24"/>
        </w:rPr>
        <w:t>maintained</w:t>
      </w:r>
      <w:r>
        <w:rPr>
          <w:spacing w:val="-6"/>
          <w:sz w:val="24"/>
        </w:rPr>
        <w:t> </w:t>
      </w:r>
      <w:r>
        <w:rPr>
          <w:sz w:val="24"/>
        </w:rPr>
        <w:t>individuals will no longer be entered into the narrative.</w:t>
      </w:r>
    </w:p>
    <w:p>
      <w:pPr>
        <w:pStyle w:val="BodyText"/>
        <w:spacing w:before="3"/>
      </w:pPr>
    </w:p>
    <w:p>
      <w:pPr>
        <w:pStyle w:val="BodyText"/>
        <w:ind w:left="120" w:right="813" w:firstLine="720"/>
      </w:pPr>
      <w:r>
        <w:rPr/>
        <w:t>A</w:t>
      </w:r>
      <w:r>
        <w:rPr>
          <w:spacing w:val="-2"/>
        </w:rPr>
        <w:t> </w:t>
      </w:r>
      <w:r>
        <w:rPr/>
        <w:t>daily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issued</w:t>
      </w:r>
      <w:r>
        <w:rPr>
          <w:spacing w:val="-2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logic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removed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system.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Inter-County</w:t>
      </w:r>
      <w:r>
        <w:rPr>
          <w:spacing w:val="-5"/>
          <w:u w:val="single"/>
        </w:rPr>
        <w:t> </w:t>
      </w:r>
      <w:r>
        <w:rPr>
          <w:u w:val="single"/>
        </w:rPr>
        <w:t>Transfer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(ICT)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840"/>
      </w:pPr>
      <w:r>
        <w:rPr/>
        <w:t>The</w:t>
      </w:r>
      <w:r>
        <w:rPr>
          <w:spacing w:val="-4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ICT</w:t>
      </w:r>
      <w:r>
        <w:rPr>
          <w:spacing w:val="-3"/>
        </w:rPr>
        <w:t> </w:t>
      </w:r>
      <w:r>
        <w:rPr/>
        <w:t>outlined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BodyText"/>
        <w:ind w:left="120" w:right="117"/>
      </w:pPr>
      <w:r>
        <w:rPr>
          <w:color w:val="0000FF"/>
          <w:u w:val="single" w:color="0000FF"/>
        </w:rPr>
        <w:t>Daily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Status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D-23040601</w:t>
      </w:r>
      <w:r>
        <w:rPr>
          <w:color w:val="0000FF"/>
          <w:spacing w:val="-3"/>
          <w:u w:val="none"/>
        </w:rPr>
        <w:t> </w:t>
      </w:r>
      <w:r>
        <w:rPr>
          <w:u w:val="none"/>
        </w:rPr>
        <w:t>is</w:t>
      </w:r>
      <w:r>
        <w:rPr>
          <w:spacing w:val="-3"/>
          <w:u w:val="none"/>
        </w:rPr>
        <w:t> </w:t>
      </w:r>
      <w:r>
        <w:rPr>
          <w:u w:val="none"/>
        </w:rPr>
        <w:t>now</w:t>
      </w:r>
      <w:r>
        <w:rPr>
          <w:spacing w:val="-3"/>
          <w:u w:val="none"/>
        </w:rPr>
        <w:t> </w:t>
      </w:r>
      <w:r>
        <w:rPr>
          <w:u w:val="none"/>
        </w:rPr>
        <w:t>obsolete.</w:t>
      </w:r>
      <w:r>
        <w:rPr>
          <w:spacing w:val="40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CAO</w:t>
      </w:r>
      <w:r>
        <w:rPr>
          <w:spacing w:val="-2"/>
          <w:u w:val="none"/>
        </w:rPr>
        <w:t> </w:t>
      </w:r>
      <w:r>
        <w:rPr>
          <w:u w:val="none"/>
        </w:rPr>
        <w:t>will</w:t>
      </w:r>
      <w:r>
        <w:rPr>
          <w:spacing w:val="-3"/>
          <w:u w:val="none"/>
        </w:rPr>
        <w:t> </w:t>
      </w:r>
      <w:r>
        <w:rPr>
          <w:u w:val="none"/>
        </w:rPr>
        <w:t>follow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6"/>
          <w:u w:val="none"/>
        </w:rPr>
        <w:t> </w:t>
      </w:r>
      <w:r>
        <w:rPr>
          <w:u w:val="none"/>
        </w:rPr>
        <w:t>existing</w:t>
      </w:r>
      <w:r>
        <w:rPr>
          <w:spacing w:val="-4"/>
          <w:u w:val="none"/>
        </w:rPr>
        <w:t> </w:t>
      </w:r>
      <w:r>
        <w:rPr>
          <w:u w:val="none"/>
        </w:rPr>
        <w:t>process found in </w:t>
      </w:r>
      <w:hyperlink r:id="rId8">
        <w:r>
          <w:rPr>
            <w:color w:val="0000FF"/>
            <w:u w:val="single" w:color="0000FF"/>
          </w:rPr>
          <w:t>Ops Memo 22-03-01</w:t>
        </w:r>
      </w:hyperlink>
      <w:r>
        <w:rPr>
          <w:u w:val="none"/>
        </w:rPr>
        <w:t>.</w:t>
      </w:r>
    </w:p>
    <w:p>
      <w:pPr>
        <w:pStyle w:val="Heading2"/>
        <w:spacing w:before="276"/>
        <w:rPr>
          <w:u w:val="none"/>
        </w:rPr>
      </w:pPr>
      <w:r>
        <w:rPr>
          <w:u w:val="single"/>
        </w:rPr>
        <w:t>Public</w:t>
      </w:r>
      <w:r>
        <w:rPr>
          <w:spacing w:val="-5"/>
          <w:u w:val="single"/>
        </w:rPr>
        <w:t> </w:t>
      </w:r>
      <w:r>
        <w:rPr>
          <w:u w:val="single"/>
        </w:rPr>
        <w:t>Assistance</w:t>
      </w:r>
      <w:r>
        <w:rPr>
          <w:spacing w:val="-2"/>
          <w:u w:val="single"/>
        </w:rPr>
        <w:t> </w:t>
      </w:r>
      <w:r>
        <w:rPr>
          <w:u w:val="single"/>
        </w:rPr>
        <w:t>Reporting</w:t>
      </w:r>
      <w:r>
        <w:rPr>
          <w:spacing w:val="-4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System</w:t>
      </w:r>
      <w:r>
        <w:rPr>
          <w:spacing w:val="-4"/>
          <w:u w:val="single"/>
        </w:rPr>
        <w:t> </w:t>
      </w:r>
      <w:r>
        <w:rPr>
          <w:u w:val="single"/>
        </w:rPr>
        <w:t>(PARIS)</w:t>
      </w:r>
      <w:r>
        <w:rPr>
          <w:spacing w:val="-4"/>
          <w:u w:val="single"/>
        </w:rPr>
        <w:t> </w:t>
      </w:r>
      <w:r>
        <w:rPr>
          <w:u w:val="single"/>
        </w:rPr>
        <w:t>Match</w:t>
      </w:r>
      <w:r>
        <w:rPr>
          <w:spacing w:val="-6"/>
          <w:u w:val="single"/>
        </w:rPr>
        <w:t> </w:t>
      </w:r>
      <w:r>
        <w:rPr>
          <w:u w:val="single"/>
        </w:rPr>
        <w:t>(Exchange</w:t>
      </w:r>
      <w:r>
        <w:rPr>
          <w:spacing w:val="-4"/>
          <w:u w:val="single"/>
        </w:rPr>
        <w:t> </w:t>
      </w:r>
      <w:r>
        <w:rPr>
          <w:spacing w:val="-5"/>
          <w:u w:val="single"/>
        </w:rPr>
        <w:t>9a)</w:t>
      </w:r>
    </w:p>
    <w:p>
      <w:pPr>
        <w:pStyle w:val="BodyText"/>
        <w:spacing w:before="276"/>
        <w:ind w:left="120" w:right="623" w:firstLine="720"/>
      </w:pPr>
      <w:r>
        <w:rPr/>
        <w:t>The CAO will follow the existing policy in the MA Eligibility Handbook </w:t>
      </w:r>
      <w:hyperlink r:id="rId9">
        <w:r>
          <w:rPr>
            <w:color w:val="0000FF"/>
            <w:u w:val="single" w:color="0000FF"/>
          </w:rPr>
          <w:t>(MAEH)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378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Appendix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H</w:t>
        </w:r>
      </w:hyperlink>
      <w:r>
        <w:rPr>
          <w:u w:val="none"/>
        </w:rPr>
        <w:t>.</w:t>
      </w:r>
      <w:r>
        <w:rPr>
          <w:spacing w:val="40"/>
          <w:u w:val="none"/>
        </w:rPr>
        <w:t> </w:t>
      </w:r>
      <w:r>
        <w:rPr>
          <w:u w:val="none"/>
        </w:rPr>
        <w:t>When</w:t>
      </w:r>
      <w:r>
        <w:rPr>
          <w:spacing w:val="-4"/>
          <w:u w:val="none"/>
        </w:rPr>
        <w:t> </w:t>
      </w:r>
      <w:r>
        <w:rPr>
          <w:u w:val="none"/>
        </w:rPr>
        <w:t>an</w:t>
      </w:r>
      <w:r>
        <w:rPr>
          <w:spacing w:val="-2"/>
          <w:u w:val="none"/>
        </w:rPr>
        <w:t> </w:t>
      </w:r>
      <w:r>
        <w:rPr>
          <w:u w:val="none"/>
        </w:rPr>
        <w:t>individual</w:t>
      </w:r>
      <w:r>
        <w:rPr>
          <w:spacing w:val="-3"/>
          <w:u w:val="none"/>
        </w:rPr>
        <w:t> </w:t>
      </w:r>
      <w:r>
        <w:rPr>
          <w:u w:val="none"/>
        </w:rPr>
        <w:t>is</w:t>
      </w:r>
      <w:r>
        <w:rPr>
          <w:spacing w:val="-3"/>
          <w:u w:val="none"/>
        </w:rPr>
        <w:t> </w:t>
      </w:r>
      <w:r>
        <w:rPr>
          <w:u w:val="none"/>
        </w:rPr>
        <w:t>identified</w:t>
      </w:r>
      <w:r>
        <w:rPr>
          <w:spacing w:val="-2"/>
          <w:u w:val="none"/>
        </w:rPr>
        <w:t> </w:t>
      </w:r>
      <w:r>
        <w:rPr>
          <w:u w:val="none"/>
        </w:rPr>
        <w:t>through</w:t>
      </w:r>
      <w:r>
        <w:rPr>
          <w:spacing w:val="-4"/>
          <w:u w:val="none"/>
        </w:rPr>
        <w:t> </w:t>
      </w:r>
      <w:r>
        <w:rPr>
          <w:u w:val="none"/>
        </w:rPr>
        <w:t>an</w:t>
      </w:r>
      <w:r>
        <w:rPr>
          <w:spacing w:val="-2"/>
          <w:u w:val="none"/>
        </w:rPr>
        <w:t> </w:t>
      </w:r>
      <w:r>
        <w:rPr>
          <w:u w:val="none"/>
        </w:rPr>
        <w:t>Exchange</w:t>
      </w:r>
      <w:r>
        <w:rPr>
          <w:spacing w:val="-2"/>
          <w:u w:val="none"/>
        </w:rPr>
        <w:t> </w:t>
      </w:r>
      <w:r>
        <w:rPr>
          <w:u w:val="none"/>
        </w:rPr>
        <w:t>9a</w:t>
      </w:r>
    </w:p>
    <w:p>
      <w:pPr>
        <w:pStyle w:val="BodyText"/>
        <w:ind w:left="120"/>
      </w:pPr>
      <w:r>
        <w:rPr/>
        <w:t>PARIS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match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benefit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another</w:t>
      </w:r>
      <w:r>
        <w:rPr>
          <w:spacing w:val="-4"/>
        </w:rPr>
        <w:t> </w:t>
      </w:r>
      <w:r>
        <w:rPr/>
        <w:t>state,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actions must be taken: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720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PARIS</w:t>
      </w:r>
      <w:r>
        <w:rPr>
          <w:spacing w:val="-5"/>
          <w:sz w:val="24"/>
        </w:rPr>
        <w:t> </w:t>
      </w:r>
      <w:r>
        <w:rPr>
          <w:sz w:val="24"/>
        </w:rPr>
        <w:t>match</w:t>
      </w:r>
      <w:r>
        <w:rPr>
          <w:spacing w:val="-2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enrolled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public benefit program in another state.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273" w:after="0"/>
        <w:ind w:left="1199" w:right="490" w:hanging="360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verification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Pennsylvania</w:t>
      </w:r>
      <w:r>
        <w:rPr>
          <w:spacing w:val="-3"/>
          <w:sz w:val="24"/>
        </w:rPr>
        <w:t> </w:t>
      </w:r>
      <w:r>
        <w:rPr>
          <w:sz w:val="24"/>
        </w:rPr>
        <w:t>(PA) </w:t>
      </w:r>
      <w:r>
        <w:rPr>
          <w:spacing w:val="-2"/>
          <w:sz w:val="24"/>
        </w:rPr>
        <w:t>residency.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23" w:lineRule="auto" w:before="0" w:after="0"/>
        <w:ind w:left="1919" w:right="1053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verification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obtained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 resident, take no action.</w:t>
      </w:r>
    </w:p>
    <w:p>
      <w:pPr>
        <w:spacing w:after="0" w:line="223" w:lineRule="auto"/>
        <w:jc w:val="left"/>
        <w:rPr>
          <w:sz w:val="24"/>
        </w:rPr>
        <w:sectPr>
          <w:headerReference w:type="default" r:id="rId7"/>
          <w:pgSz w:w="12240" w:h="15840"/>
          <w:pgMar w:header="728" w:footer="0" w:top="980" w:bottom="280" w:left="1320" w:right="1340"/>
          <w:pgNumType w:start="2"/>
        </w:sectPr>
      </w:pPr>
    </w:p>
    <w:p>
      <w:pPr>
        <w:pStyle w:val="BodyText"/>
        <w:spacing w:before="182"/>
      </w:pP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23" w:lineRule="auto" w:before="0" w:after="0"/>
        <w:ind w:left="1920" w:right="89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verification</w:t>
      </w:r>
      <w:r>
        <w:rPr>
          <w:spacing w:val="-3"/>
          <w:sz w:val="24"/>
        </w:rPr>
        <w:t> </w:t>
      </w:r>
      <w:r>
        <w:rPr>
          <w:sz w:val="24"/>
        </w:rPr>
        <w:t>provides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 resident, then close MA.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35" w:lineRule="auto" w:before="0" w:after="0"/>
        <w:ind w:left="1920" w:right="211" w:hanging="360"/>
        <w:jc w:val="left"/>
        <w:rPr>
          <w:sz w:val="24"/>
        </w:rPr>
      </w:pPr>
      <w:r>
        <w:rPr>
          <w:sz w:val="24"/>
        </w:rPr>
        <w:t>If verification is not provided by the individual, and the caseworker makes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reasonable</w:t>
      </w:r>
      <w:r>
        <w:rPr>
          <w:spacing w:val="-6"/>
          <w:sz w:val="24"/>
        </w:rPr>
        <w:t> </w:t>
      </w:r>
      <w:r>
        <w:rPr>
          <w:sz w:val="24"/>
        </w:rPr>
        <w:t>effort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verification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sources (e.g., the data exchanges and information in the case record), but is unable to verify PA residency, then close MA.</w:t>
      </w:r>
    </w:p>
    <w:p>
      <w:pPr>
        <w:pStyle w:val="BodyText"/>
        <w:spacing w:before="273"/>
        <w:ind w:left="1200"/>
      </w:pPr>
      <w:r>
        <w:rPr>
          <w:b/>
        </w:rPr>
        <w:t>NOTE:</w:t>
      </w:r>
      <w:r>
        <w:rPr>
          <w:b/>
          <w:spacing w:val="40"/>
        </w:rPr>
        <w:t> </w:t>
      </w:r>
      <w:r>
        <w:rPr/>
        <w:t>After closing MA, if the caseworker obtains verification of the individual’s</w:t>
      </w:r>
      <w:r>
        <w:rPr>
          <w:spacing w:val="-3"/>
        </w:rPr>
        <w:t> </w:t>
      </w:r>
      <w:r>
        <w:rPr/>
        <w:t>PA</w:t>
      </w:r>
      <w:r>
        <w:rPr>
          <w:spacing w:val="-2"/>
        </w:rPr>
        <w:t> </w:t>
      </w:r>
      <w:r>
        <w:rPr/>
        <w:t>residency,</w:t>
      </w:r>
      <w:r>
        <w:rPr>
          <w:spacing w:val="-2"/>
        </w:rPr>
        <w:t> </w:t>
      </w:r>
      <w:r>
        <w:rPr/>
        <w:t>MA</w:t>
      </w:r>
      <w:r>
        <w:rPr>
          <w:spacing w:val="-2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reinstated</w:t>
      </w:r>
      <w:r>
        <w:rPr>
          <w:spacing w:val="-2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closing.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Overpayments</w:t>
      </w:r>
    </w:p>
    <w:p>
      <w:pPr>
        <w:pStyle w:val="BodyText"/>
        <w:rPr>
          <w:b/>
        </w:rPr>
      </w:pPr>
    </w:p>
    <w:p>
      <w:pPr>
        <w:pStyle w:val="BodyText"/>
        <w:ind w:left="120" w:right="174" w:firstLine="720"/>
      </w:pP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file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MA</w:t>
      </w:r>
      <w:r>
        <w:rPr>
          <w:spacing w:val="-2"/>
        </w:rPr>
        <w:t> </w:t>
      </w:r>
      <w:r>
        <w:rPr/>
        <w:t>overpayment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MA</w:t>
      </w:r>
      <w:r>
        <w:rPr>
          <w:spacing w:val="-2"/>
        </w:rPr>
        <w:t> </w:t>
      </w:r>
      <w:r>
        <w:rPr/>
        <w:t>recipient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March</w:t>
      </w:r>
      <w:r>
        <w:rPr>
          <w:spacing w:val="-2"/>
        </w:rPr>
        <w:t> </w:t>
      </w:r>
      <w:r>
        <w:rPr/>
        <w:t>18,</w:t>
      </w:r>
      <w:r>
        <w:rPr>
          <w:spacing w:val="-2"/>
        </w:rPr>
        <w:t> </w:t>
      </w:r>
      <w:r>
        <w:rPr/>
        <w:t>2020, to March 31, 2023 continuous coverage period even if they were not continually enrolled.</w:t>
      </w:r>
      <w:r>
        <w:rPr>
          <w:spacing w:val="40"/>
        </w:rPr>
        <w:t> </w:t>
      </w:r>
      <w:r>
        <w:rPr/>
        <w:t>Additionally, after March 31, 2023, do not file an MA overpayment for any period before the recipient’s renewal is completed.</w:t>
      </w:r>
    </w:p>
    <w:p>
      <w:pPr>
        <w:pStyle w:val="BodyText"/>
      </w:pPr>
    </w:p>
    <w:p>
      <w:pPr>
        <w:pStyle w:val="BodyText"/>
        <w:ind w:left="839" w:right="8"/>
      </w:pPr>
      <w:r>
        <w:rPr>
          <w:b/>
          <w:i/>
        </w:rPr>
        <w:t>Example:</w:t>
      </w:r>
      <w:r>
        <w:rPr>
          <w:b/>
          <w:i/>
          <w:spacing w:val="40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maintained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MG</w:t>
      </w:r>
      <w:r>
        <w:rPr>
          <w:spacing w:val="-2"/>
        </w:rPr>
        <w:t> </w:t>
      </w:r>
      <w:r>
        <w:rPr/>
        <w:t>91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renewal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set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August 31, 2023, during the unwinding.</w:t>
      </w:r>
      <w:r>
        <w:rPr>
          <w:spacing w:val="40"/>
        </w:rPr>
        <w:t> </w:t>
      </w:r>
      <w:r>
        <w:rPr/>
        <w:t>The period of March 18, 2020, to August 31, 2023, cannot be included when determining MA overpayments.</w:t>
      </w:r>
    </w:p>
    <w:p>
      <w:pPr>
        <w:pStyle w:val="BodyText"/>
      </w:pPr>
    </w:p>
    <w:p>
      <w:pPr>
        <w:pStyle w:val="Heading2"/>
        <w:spacing w:before="1"/>
        <w:rPr>
          <w:u w:val="none"/>
        </w:rPr>
      </w:pPr>
      <w:r>
        <w:rPr>
          <w:u w:val="single"/>
        </w:rPr>
        <w:t>Emergency</w:t>
      </w:r>
      <w:r>
        <w:rPr>
          <w:spacing w:val="-2"/>
          <w:u w:val="single"/>
        </w:rPr>
        <w:t> </w:t>
      </w:r>
      <w:r>
        <w:rPr>
          <w:u w:val="single"/>
        </w:rPr>
        <w:t>Medical</w:t>
      </w:r>
      <w:r>
        <w:rPr>
          <w:spacing w:val="-3"/>
          <w:u w:val="single"/>
        </w:rPr>
        <w:t> </w:t>
      </w:r>
      <w:r>
        <w:rPr>
          <w:u w:val="single"/>
        </w:rPr>
        <w:t>Assistance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(EMA)</w:t>
      </w:r>
    </w:p>
    <w:p>
      <w:pPr>
        <w:pStyle w:val="BodyText"/>
        <w:spacing w:before="276"/>
        <w:ind w:left="120" w:firstLine="720"/>
      </w:pPr>
      <w:r>
        <w:rPr/>
        <w:t>EMA recipients are non-citizens who are eligible for MA because they have an Emergency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(EMC)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meet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eligibility</w:t>
      </w:r>
      <w:r>
        <w:rPr>
          <w:spacing w:val="-4"/>
        </w:rPr>
        <w:t> </w:t>
      </w:r>
      <w:r>
        <w:rPr/>
        <w:t>requirements. The CAO will follow the existing guidance for processing EMA requests found at</w:t>
      </w:r>
    </w:p>
    <w:p>
      <w:pPr>
        <w:pStyle w:val="BodyText"/>
        <w:ind w:left="119"/>
      </w:pPr>
      <w:hyperlink r:id="rId10">
        <w:r>
          <w:rPr>
            <w:color w:val="0000FF"/>
            <w:u w:val="single" w:color="0000FF"/>
          </w:rPr>
          <w:t>MAEH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322.35</w:t>
        </w:r>
      </w:hyperlink>
      <w:r>
        <w:rPr>
          <w:color w:val="0000FF"/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-2"/>
          <w:u w:val="none"/>
        </w:rPr>
        <w:t> </w:t>
      </w:r>
      <w:r>
        <w:rPr>
          <w:color w:val="0000FF"/>
          <w:u w:val="single" w:color="0000FF"/>
        </w:rPr>
        <w:t>Ops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Memo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22-07-</w:t>
      </w:r>
      <w:r>
        <w:rPr>
          <w:color w:val="0000FF"/>
          <w:spacing w:val="-5"/>
          <w:u w:val="single" w:color="0000FF"/>
        </w:rPr>
        <w:t>02</w:t>
      </w:r>
      <w:r>
        <w:rPr>
          <w:spacing w:val="-5"/>
          <w:u w:val="none"/>
        </w:rPr>
        <w:t>.</w:t>
      </w:r>
    </w:p>
    <w:p>
      <w:pPr>
        <w:pStyle w:val="Heading2"/>
        <w:spacing w:before="276"/>
        <w:rPr>
          <w:u w:val="none"/>
        </w:rPr>
      </w:pPr>
      <w:r>
        <w:rPr>
          <w:u w:val="single"/>
        </w:rPr>
        <w:t>MA</w:t>
      </w:r>
      <w:r>
        <w:rPr>
          <w:spacing w:val="-4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Workers</w:t>
      </w:r>
      <w:r>
        <w:rPr>
          <w:spacing w:val="-1"/>
          <w:u w:val="single"/>
        </w:rPr>
        <w:t> </w:t>
      </w:r>
      <w:r>
        <w:rPr>
          <w:u w:val="single"/>
        </w:rPr>
        <w:t>with</w:t>
      </w:r>
      <w:r>
        <w:rPr>
          <w:spacing w:val="-5"/>
          <w:u w:val="single"/>
        </w:rPr>
        <w:t> </w:t>
      </w:r>
      <w:r>
        <w:rPr>
          <w:u w:val="single"/>
        </w:rPr>
        <w:t>Disabilities </w:t>
      </w:r>
      <w:r>
        <w:rPr>
          <w:spacing w:val="-2"/>
          <w:u w:val="single"/>
        </w:rPr>
        <w:t>(MAWD)</w:t>
      </w:r>
    </w:p>
    <w:p>
      <w:pPr>
        <w:pStyle w:val="BodyText"/>
        <w:rPr>
          <w:b/>
        </w:rPr>
      </w:pPr>
    </w:p>
    <w:p>
      <w:pPr>
        <w:pStyle w:val="BodyText"/>
        <w:ind w:left="840"/>
      </w:pPr>
      <w:r>
        <w:rPr/>
        <w:t>The</w:t>
      </w:r>
      <w:r>
        <w:rPr>
          <w:spacing w:val="-4"/>
        </w:rPr>
        <w:t> </w:t>
      </w:r>
      <w:r>
        <w:rPr/>
        <w:t>CAO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MAWD</w:t>
      </w:r>
      <w:r>
        <w:rPr>
          <w:spacing w:val="-2"/>
        </w:rPr>
        <w:t> when: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274" w:after="0"/>
        <w:ind w:left="1200" w:right="717" w:hanging="360"/>
        <w:jc w:val="left"/>
        <w:rPr>
          <w:sz w:val="24"/>
        </w:rPr>
      </w:pPr>
      <w:r>
        <w:rPr>
          <w:sz w:val="24"/>
        </w:rPr>
        <w:t>Entering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unpaid</w:t>
      </w:r>
      <w:r>
        <w:rPr>
          <w:spacing w:val="-4"/>
          <w:sz w:val="24"/>
        </w:rPr>
        <w:t> </w:t>
      </w:r>
      <w:r>
        <w:rPr>
          <w:sz w:val="24"/>
        </w:rPr>
        <w:t>premiums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MAWD</w:t>
      </w:r>
      <w:r>
        <w:rPr>
          <w:spacing w:val="-3"/>
          <w:sz w:val="24"/>
        </w:rPr>
        <w:t> </w:t>
      </w:r>
      <w:r>
        <w:rPr>
          <w:sz w:val="24"/>
        </w:rPr>
        <w:t>recipients.</w:t>
      </w:r>
      <w:r>
        <w:rPr>
          <w:spacing w:val="40"/>
          <w:sz w:val="24"/>
        </w:rPr>
        <w:t> </w:t>
      </w:r>
      <w:r>
        <w:rPr>
          <w:sz w:val="24"/>
        </w:rPr>
        <w:t>See </w:t>
      </w:r>
      <w:hyperlink r:id="rId11">
        <w:r>
          <w:rPr>
            <w:color w:val="0000FF"/>
            <w:sz w:val="24"/>
            <w:u w:val="single" w:color="0000FF"/>
          </w:rPr>
          <w:t>MAEH 316.66</w:t>
        </w:r>
      </w:hyperlink>
      <w:r>
        <w:rPr>
          <w:color w:val="0000FF"/>
          <w:sz w:val="24"/>
          <w:u w:val="none"/>
        </w:rPr>
        <w:t> </w:t>
      </w:r>
      <w:r>
        <w:rPr>
          <w:sz w:val="24"/>
          <w:u w:val="none"/>
        </w:rPr>
        <w:t>for more information.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275" w:after="0"/>
        <w:ind w:left="1200" w:right="170" w:hanging="360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MAWD</w:t>
      </w:r>
      <w:r>
        <w:rPr>
          <w:spacing w:val="-6"/>
          <w:sz w:val="24"/>
        </w:rPr>
        <w:t> </w:t>
      </w:r>
      <w:r>
        <w:rPr>
          <w:sz w:val="24"/>
        </w:rPr>
        <w:t>prior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closing</w:t>
      </w:r>
      <w:r>
        <w:rPr>
          <w:spacing w:val="-2"/>
          <w:sz w:val="24"/>
        </w:rPr>
        <w:t> </w:t>
      </w:r>
      <w:r>
        <w:rPr>
          <w:sz w:val="24"/>
        </w:rPr>
        <w:t>MA,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HCBS.</w:t>
      </w:r>
      <w:r>
        <w:rPr>
          <w:spacing w:val="40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MAEH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316.1</w:t>
        </w:r>
      </w:hyperlink>
      <w:r>
        <w:rPr>
          <w:color w:val="0000FF"/>
          <w:sz w:val="24"/>
          <w:u w:val="none"/>
        </w:rPr>
        <w:t> </w:t>
      </w:r>
      <w:r>
        <w:rPr>
          <w:sz w:val="24"/>
          <w:u w:val="none"/>
        </w:rPr>
        <w:t>for more information.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275" w:after="0"/>
        <w:ind w:left="1200" w:right="131" w:hanging="360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MAWD</w:t>
      </w:r>
      <w:r>
        <w:rPr>
          <w:spacing w:val="-6"/>
          <w:sz w:val="24"/>
        </w:rPr>
        <w:t> </w:t>
      </w:r>
      <w:r>
        <w:rPr>
          <w:sz w:val="24"/>
        </w:rPr>
        <w:t>Workers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Success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closing</w:t>
      </w:r>
      <w:r>
        <w:rPr>
          <w:spacing w:val="-2"/>
          <w:sz w:val="24"/>
        </w:rPr>
        <w:t> </w:t>
      </w:r>
      <w:r>
        <w:rPr>
          <w:sz w:val="24"/>
        </w:rPr>
        <w:t>MAWD.</w:t>
      </w:r>
      <w:r>
        <w:rPr>
          <w:spacing w:val="40"/>
          <w:sz w:val="24"/>
        </w:rPr>
        <w:t> </w:t>
      </w:r>
      <w:r>
        <w:rPr>
          <w:sz w:val="24"/>
        </w:rPr>
        <w:t>See </w:t>
      </w:r>
      <w:r>
        <w:rPr>
          <w:color w:val="0000FF"/>
          <w:sz w:val="24"/>
          <w:u w:val="single" w:color="0000FF"/>
        </w:rPr>
        <w:t>Ops Memo 22-07-01</w:t>
      </w:r>
      <w:r>
        <w:rPr>
          <w:color w:val="0000FF"/>
          <w:sz w:val="24"/>
          <w:u w:val="none"/>
        </w:rPr>
        <w:t> </w:t>
      </w:r>
      <w:r>
        <w:rPr>
          <w:sz w:val="24"/>
          <w:u w:val="none"/>
        </w:rPr>
        <w:t>for more information.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8" w:footer="0" w:top="980" w:bottom="280" w:left="1320" w:right="1340"/>
        </w:sectPr>
      </w:pPr>
    </w:p>
    <w:p>
      <w:pPr>
        <w:pStyle w:val="BodyText"/>
        <w:spacing w:before="168"/>
      </w:pPr>
    </w:p>
    <w:p>
      <w:pPr>
        <w:pStyle w:val="Heading2"/>
        <w:rPr>
          <w:u w:val="none"/>
        </w:rPr>
      </w:pPr>
      <w:r>
        <w:rPr>
          <w:u w:val="single"/>
        </w:rPr>
        <w:t>Disability</w:t>
      </w:r>
      <w:r>
        <w:rPr>
          <w:spacing w:val="-4"/>
          <w:u w:val="single"/>
        </w:rPr>
        <w:t> </w:t>
      </w:r>
      <w:r>
        <w:rPr>
          <w:u w:val="single"/>
        </w:rPr>
        <w:t>Advocacy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Program</w:t>
      </w:r>
    </w:p>
    <w:p>
      <w:pPr>
        <w:pStyle w:val="BodyText"/>
        <w:rPr>
          <w:b/>
        </w:rPr>
      </w:pPr>
    </w:p>
    <w:p>
      <w:pPr>
        <w:pStyle w:val="BodyText"/>
        <w:ind w:left="120" w:right="813" w:firstLine="720"/>
      </w:pPr>
      <w:r>
        <w:rPr/>
        <w:t>The</w:t>
      </w:r>
      <w:r>
        <w:rPr>
          <w:spacing w:val="-4"/>
        </w:rPr>
        <w:t> </w:t>
      </w:r>
      <w:r>
        <w:rPr/>
        <w:t>CAO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follow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hyperlink r:id="rId13">
        <w:r>
          <w:rPr>
            <w:color w:val="0000FF"/>
            <w:u w:val="single" w:color="0000FF"/>
          </w:rPr>
          <w:t>Supplemental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Handbook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820</w:t>
        </w:r>
      </w:hyperlink>
      <w:r>
        <w:rPr>
          <w:u w:val="none"/>
        </w:rPr>
        <w:t>, </w:t>
      </w:r>
      <w:r>
        <w:rPr>
          <w:color w:val="0000FF"/>
          <w:u w:val="single" w:color="0000FF"/>
        </w:rPr>
        <w:t>Ops Memo 18-03-02</w:t>
      </w:r>
      <w:r>
        <w:rPr>
          <w:u w:val="none"/>
        </w:rPr>
        <w:t>, and </w:t>
      </w:r>
      <w:r>
        <w:rPr>
          <w:color w:val="0000FF"/>
          <w:u w:val="single" w:color="0000FF"/>
        </w:rPr>
        <w:t>Ops Memo 20-09-05</w:t>
      </w:r>
      <w:r>
        <w:rPr>
          <w:color w:val="0000FF"/>
          <w:u w:val="none"/>
        </w:rPr>
        <w:t> </w:t>
      </w:r>
      <w:r>
        <w:rPr>
          <w:u w:val="none"/>
        </w:rPr>
        <w:t>when processing: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Referrals.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273" w:after="0"/>
        <w:ind w:left="1199" w:right="0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Referrals.</w:t>
      </w:r>
    </w:p>
    <w:p>
      <w:pPr>
        <w:pStyle w:val="Heading2"/>
        <w:spacing w:before="274"/>
        <w:rPr>
          <w:u w:val="none"/>
        </w:rPr>
      </w:pPr>
      <w:r>
        <w:rPr>
          <w:u w:val="single"/>
        </w:rPr>
        <w:t>Supplemental</w:t>
      </w:r>
      <w:r>
        <w:rPr>
          <w:spacing w:val="-5"/>
          <w:u w:val="single"/>
        </w:rPr>
        <w:t> </w:t>
      </w:r>
      <w:r>
        <w:rPr>
          <w:u w:val="single"/>
        </w:rPr>
        <w:t>Security</w:t>
      </w:r>
      <w:r>
        <w:rPr>
          <w:spacing w:val="-3"/>
          <w:u w:val="single"/>
        </w:rPr>
        <w:t> </w:t>
      </w:r>
      <w:r>
        <w:rPr>
          <w:u w:val="single"/>
        </w:rPr>
        <w:t>Income</w:t>
      </w:r>
      <w:r>
        <w:rPr>
          <w:spacing w:val="-4"/>
          <w:u w:val="single"/>
        </w:rPr>
        <w:t> </w:t>
      </w:r>
      <w:r>
        <w:rPr>
          <w:u w:val="single"/>
        </w:rPr>
        <w:t>(SSI)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Recipients</w:t>
      </w:r>
    </w:p>
    <w:p>
      <w:pPr>
        <w:pStyle w:val="BodyText"/>
        <w:rPr>
          <w:b/>
        </w:rPr>
      </w:pPr>
    </w:p>
    <w:p>
      <w:pPr>
        <w:pStyle w:val="BodyText"/>
        <w:ind w:left="120" w:right="158" w:firstLine="720"/>
      </w:pPr>
      <w:r>
        <w:rPr/>
        <w:t>The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follow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at</w:t>
      </w:r>
      <w:r>
        <w:rPr>
          <w:spacing w:val="-3"/>
        </w:rPr>
        <w:t> </w:t>
      </w:r>
      <w:hyperlink r:id="rId14">
        <w:r>
          <w:rPr>
            <w:color w:val="0000FF"/>
            <w:u w:val="single" w:color="0000FF"/>
          </w:rPr>
          <w:t>MAEH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387.53</w:t>
        </w:r>
      </w:hyperlink>
      <w:r>
        <w:rPr>
          <w:color w:val="0000FF"/>
          <w:spacing w:val="-3"/>
          <w:u w:val="none"/>
        </w:rPr>
        <w:t> </w:t>
      </w:r>
      <w:r>
        <w:rPr>
          <w:u w:val="none"/>
        </w:rPr>
        <w:t>when</w:t>
      </w:r>
      <w:r>
        <w:rPr>
          <w:spacing w:val="-4"/>
          <w:u w:val="none"/>
        </w:rPr>
        <w:t> </w:t>
      </w:r>
      <w:r>
        <w:rPr>
          <w:u w:val="none"/>
        </w:rPr>
        <w:t>reviewing</w:t>
      </w:r>
      <w:r>
        <w:rPr>
          <w:spacing w:val="-2"/>
          <w:u w:val="none"/>
        </w:rPr>
        <w:t> </w:t>
      </w:r>
      <w:r>
        <w:rPr>
          <w:u w:val="none"/>
        </w:rPr>
        <w:t>for other MA (including Special SSI MA) budgets following the suspension of an SSI </w:t>
      </w:r>
      <w:r>
        <w:rPr>
          <w:spacing w:val="-2"/>
          <w:u w:val="none"/>
        </w:rPr>
        <w:t>budget.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MA</w:t>
      </w:r>
      <w:r>
        <w:rPr>
          <w:spacing w:val="-4"/>
          <w:u w:val="single"/>
        </w:rPr>
        <w:t> </w:t>
      </w:r>
      <w:r>
        <w:rPr>
          <w:u w:val="single"/>
        </w:rPr>
        <w:t>Spend-down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Cases</w:t>
      </w:r>
    </w:p>
    <w:p>
      <w:pPr>
        <w:pStyle w:val="BodyText"/>
        <w:rPr>
          <w:b/>
        </w:rPr>
      </w:pPr>
    </w:p>
    <w:p>
      <w:pPr>
        <w:pStyle w:val="BodyText"/>
        <w:ind w:left="120" w:right="174" w:firstLine="720"/>
      </w:pPr>
      <w:r>
        <w:rPr/>
        <w:t>The</w:t>
      </w:r>
      <w:r>
        <w:rPr>
          <w:spacing w:val="-3"/>
        </w:rPr>
        <w:t> </w:t>
      </w:r>
      <w:r>
        <w:rPr/>
        <w:t>CAO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follow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spend-down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found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MAEH</w:t>
      </w:r>
      <w:r>
        <w:rPr>
          <w:spacing w:val="-5"/>
        </w:rPr>
        <w:t> </w:t>
      </w:r>
      <w:hyperlink r:id="rId15">
        <w:r>
          <w:rPr>
            <w:color w:val="0000FF"/>
            <w:u w:val="single" w:color="0000FF"/>
          </w:rPr>
          <w:t>368.4</w:t>
        </w:r>
      </w:hyperlink>
      <w:r>
        <w:rPr>
          <w:color w:val="0000FF"/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hyperlink r:id="rId16">
        <w:r>
          <w:rPr>
            <w:color w:val="0000FF"/>
            <w:u w:val="single" w:color="0000FF"/>
          </w:rPr>
          <w:t>369.4</w:t>
        </w:r>
      </w:hyperlink>
      <w:r>
        <w:rPr>
          <w:color w:val="0000FF"/>
          <w:spacing w:val="-6"/>
          <w:u w:val="none"/>
        </w:rPr>
        <w:t> </w:t>
      </w:r>
      <w:r>
        <w:rPr>
          <w:u w:val="none"/>
        </w:rPr>
        <w:t>as well as LTC Handbook (LTCH) </w:t>
      </w:r>
      <w:hyperlink r:id="rId17">
        <w:r>
          <w:rPr>
            <w:color w:val="0000FF"/>
            <w:u w:val="single" w:color="0000FF"/>
          </w:rPr>
          <w:t>468.23</w:t>
        </w:r>
      </w:hyperlink>
      <w:r>
        <w:rPr>
          <w:color w:val="0000FF"/>
          <w:u w:val="none"/>
        </w:rPr>
        <w:t> </w:t>
      </w:r>
      <w:r>
        <w:rPr>
          <w:u w:val="none"/>
        </w:rPr>
        <w:t>and </w:t>
      </w:r>
      <w:hyperlink r:id="rId17">
        <w:r>
          <w:rPr>
            <w:color w:val="0000FF"/>
            <w:u w:val="single" w:color="0000FF"/>
          </w:rPr>
          <w:t>468.231</w:t>
        </w:r>
      </w:hyperlink>
      <w:r>
        <w:rPr>
          <w:color w:val="0000FF"/>
          <w:u w:val="none"/>
        </w:rPr>
        <w:t> </w:t>
      </w:r>
      <w:r>
        <w:rPr>
          <w:u w:val="none"/>
        </w:rPr>
        <w:t>for processing spend-down.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single"/>
        </w:rPr>
        <w:t>LTC</w:t>
      </w:r>
      <w:r>
        <w:rPr>
          <w:spacing w:val="-6"/>
          <w:u w:val="single"/>
        </w:rPr>
        <w:t> </w:t>
      </w:r>
      <w:r>
        <w:rPr>
          <w:u w:val="single"/>
        </w:rPr>
        <w:t>Facility</w:t>
      </w:r>
      <w:r>
        <w:rPr>
          <w:spacing w:val="-2"/>
          <w:u w:val="single"/>
        </w:rPr>
        <w:t> </w:t>
      </w:r>
      <w:r>
        <w:rPr>
          <w:u w:val="single"/>
        </w:rPr>
        <w:t>Recipients</w:t>
      </w:r>
      <w:r>
        <w:rPr>
          <w:spacing w:val="-2"/>
          <w:u w:val="single"/>
        </w:rPr>
        <w:t> </w:t>
      </w:r>
      <w:r>
        <w:rPr>
          <w:u w:val="single"/>
        </w:rPr>
        <w:t>Transitioning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Community</w:t>
      </w:r>
    </w:p>
    <w:p>
      <w:pPr>
        <w:pStyle w:val="BodyText"/>
        <w:rPr>
          <w:b/>
        </w:rPr>
      </w:pPr>
    </w:p>
    <w:p>
      <w:pPr>
        <w:pStyle w:val="BodyText"/>
        <w:ind w:left="120" w:firstLine="720"/>
      </w:pPr>
      <w:r>
        <w:rPr/>
        <w:t>When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LTC</w:t>
      </w:r>
      <w:r>
        <w:rPr>
          <w:spacing w:val="-3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recipient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discharged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requests</w:t>
      </w:r>
      <w:r>
        <w:rPr>
          <w:spacing w:val="-5"/>
        </w:rPr>
        <w:t> </w:t>
      </w:r>
      <w:r>
        <w:rPr/>
        <w:t>either HCBS or</w:t>
      </w:r>
      <w:r>
        <w:rPr>
          <w:spacing w:val="-2"/>
        </w:rPr>
        <w:t> </w:t>
      </w:r>
      <w:r>
        <w:rPr/>
        <w:t>MA, the recipient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income</w:t>
      </w:r>
      <w:r>
        <w:rPr>
          <w:spacing w:val="-2"/>
        </w:rPr>
        <w:t> </w:t>
      </w:r>
      <w:r>
        <w:rPr/>
        <w:t>and resource 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these benefits before being authorized in the new program.</w:t>
      </w:r>
      <w:r>
        <w:rPr>
          <w:spacing w:val="40"/>
        </w:rPr>
        <w:t> </w:t>
      </w:r>
      <w:r>
        <w:rPr/>
        <w:t>The CAO will follow the policy found in </w:t>
      </w:r>
      <w:hyperlink r:id="rId17">
        <w:r>
          <w:rPr>
            <w:color w:val="0000FF"/>
            <w:u w:val="single" w:color="0000FF"/>
          </w:rPr>
          <w:t>LTCH 468.2</w:t>
        </w:r>
      </w:hyperlink>
      <w:r>
        <w:rPr>
          <w:color w:val="0000FF"/>
          <w:u w:val="none"/>
        </w:rPr>
        <w:t> </w:t>
      </w:r>
      <w:r>
        <w:rPr>
          <w:u w:val="none"/>
        </w:rPr>
        <w:t>when determining eligibility for HCBS or the policy found in the MAEH when determining eligibility for non-LTC related MA such as Healthy Horizons.</w:t>
      </w:r>
    </w:p>
    <w:p>
      <w:pPr>
        <w:pStyle w:val="BodyText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Reminder:</w:t>
      </w:r>
      <w:r>
        <w:rPr>
          <w:b/>
          <w:spacing w:val="40"/>
          <w:sz w:val="24"/>
        </w:rPr>
        <w:t> </w:t>
      </w:r>
      <w:r>
        <w:rPr>
          <w:sz w:val="24"/>
        </w:rPr>
        <w:t>Individuals</w:t>
      </w:r>
      <w:r>
        <w:rPr>
          <w:spacing w:val="-3"/>
          <w:sz w:val="24"/>
        </w:rPr>
        <w:t> </w:t>
      </w:r>
      <w:r>
        <w:rPr>
          <w:sz w:val="24"/>
        </w:rPr>
        <w:t>applying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HCBS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4"/>
          <w:sz w:val="24"/>
        </w:rPr>
        <w:t> </w:t>
      </w:r>
      <w:r>
        <w:rPr>
          <w:sz w:val="24"/>
        </w:rPr>
        <w:t>exceeding</w:t>
      </w:r>
      <w:r>
        <w:rPr>
          <w:spacing w:val="-4"/>
          <w:sz w:val="24"/>
        </w:rPr>
        <w:t> </w:t>
      </w:r>
      <w:r>
        <w:rPr>
          <w:sz w:val="24"/>
        </w:rPr>
        <w:t>300</w:t>
      </w:r>
      <w:r>
        <w:rPr>
          <w:spacing w:val="-2"/>
          <w:sz w:val="24"/>
        </w:rPr>
        <w:t> </w:t>
      </w:r>
      <w:r>
        <w:rPr>
          <w:sz w:val="24"/>
        </w:rPr>
        <w:t>percent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 Federal Benefit Rate must be reviewed for MAWD if they meet the non-financial requirements</w:t>
      </w:r>
      <w:r>
        <w:rPr>
          <w:spacing w:val="-5"/>
          <w:sz w:val="24"/>
        </w:rPr>
        <w:t> </w:t>
      </w:r>
      <w:r>
        <w:rPr>
          <w:sz w:val="24"/>
        </w:rPr>
        <w:t>found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MAEH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316</w:t>
        </w:r>
      </w:hyperlink>
      <w:hyperlink r:id="rId19">
        <w:r>
          <w:rPr>
            <w:rFonts w:ascii="Garamond"/>
            <w:color w:val="0000FF"/>
            <w:sz w:val="21"/>
            <w:u w:val="single" w:color="0000FF"/>
          </w:rPr>
          <w:t>http://services.dpw.state.pa.us/oimpolicymanuals/ma/index.htm</w:t>
        </w:r>
      </w:hyperlink>
      <w:r>
        <w:rPr>
          <w:sz w:val="24"/>
          <w:u w:val="none"/>
        </w:rPr>
        <w:t>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single"/>
        </w:rPr>
        <w:t>ADDITIONAL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28" w:footer="0" w:top="980" w:bottom="280" w:left="1320" w:right="1340"/>
        </w:sectPr>
      </w:pPr>
    </w:p>
    <w:p>
      <w:pPr>
        <w:pStyle w:val="BodyText"/>
        <w:spacing w:before="92"/>
        <w:rPr>
          <w:b/>
        </w:rPr>
      </w:pPr>
    </w:p>
    <w:p>
      <w:pPr>
        <w:pStyle w:val="BodyText"/>
        <w:ind w:left="120"/>
      </w:pPr>
      <w:r>
        <w:rPr>
          <w:spacing w:val="-4"/>
        </w:rPr>
        <w:t>2024:</w:t>
      </w:r>
    </w:p>
    <w:p>
      <w:pPr>
        <w:pStyle w:val="BodyText"/>
        <w:spacing w:before="92"/>
        <w:ind w:left="78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Ops</w:t>
      </w:r>
      <w:r>
        <w:rPr>
          <w:spacing w:val="-2"/>
        </w:rPr>
        <w:t> </w:t>
      </w:r>
      <w:r>
        <w:rPr/>
        <w:t>Memos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Clarifications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obsolete</w:t>
      </w:r>
      <w:r>
        <w:rPr>
          <w:spacing w:val="-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July</w:t>
      </w:r>
      <w:r>
        <w:rPr>
          <w:spacing w:val="-4"/>
        </w:rPr>
        <w:t> </w:t>
      </w:r>
      <w:r>
        <w:rPr>
          <w:spacing w:val="-5"/>
        </w:rPr>
        <w:t>1,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1" w:after="0"/>
        <w:ind w:left="438" w:right="395" w:hanging="360"/>
        <w:jc w:val="left"/>
        <w:rPr>
          <w:sz w:val="24"/>
        </w:rPr>
      </w:pPr>
      <w:r>
        <w:rPr>
          <w:sz w:val="24"/>
        </w:rPr>
        <w:t>Ops Memo 23-03-03, Revised Expiration of the Continuous Coverage Requirement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(MA)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Consolidated Appropriations Act, 2023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272" w:after="0"/>
        <w:ind w:left="438" w:right="316" w:hanging="360"/>
        <w:jc w:val="left"/>
        <w:rPr>
          <w:sz w:val="24"/>
        </w:rPr>
      </w:pPr>
      <w:r>
        <w:rPr>
          <w:sz w:val="24"/>
        </w:rPr>
        <w:t>PMA-21685-376,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Unwinding</w:t>
      </w:r>
      <w:r>
        <w:rPr>
          <w:spacing w:val="-5"/>
          <w:sz w:val="24"/>
        </w:rPr>
        <w:t> </w:t>
      </w:r>
      <w:r>
        <w:rPr>
          <w:sz w:val="24"/>
        </w:rPr>
        <w:t>Period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Continuous</w:t>
      </w:r>
      <w:r>
        <w:rPr>
          <w:spacing w:val="-6"/>
          <w:sz w:val="24"/>
        </w:rPr>
        <w:t> </w:t>
      </w:r>
      <w:r>
        <w:rPr>
          <w:sz w:val="24"/>
        </w:rPr>
        <w:t>Coverage Requirement due to the COVID-19 Public Health Emergency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275" w:after="0"/>
        <w:ind w:left="438" w:right="359" w:hanging="360"/>
        <w:jc w:val="left"/>
        <w:rPr>
          <w:sz w:val="24"/>
        </w:rPr>
      </w:pPr>
      <w:r>
        <w:rPr>
          <w:sz w:val="24"/>
        </w:rPr>
        <w:t>PMA-21366-309, Evaluations for the Children’s Health Insurance Program (CHIP)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COVID</w:t>
      </w:r>
      <w:r>
        <w:rPr>
          <w:spacing w:val="-4"/>
          <w:sz w:val="24"/>
        </w:rPr>
        <w:t> </w:t>
      </w:r>
      <w:r>
        <w:rPr>
          <w:sz w:val="24"/>
        </w:rPr>
        <w:t>Maintained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(MA)</w:t>
      </w:r>
      <w:r>
        <w:rPr>
          <w:spacing w:val="-7"/>
          <w:sz w:val="24"/>
        </w:rPr>
        <w:t> </w:t>
      </w:r>
      <w:r>
        <w:rPr>
          <w:sz w:val="24"/>
        </w:rPr>
        <w:t>Budgets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728" w:footer="0" w:top="720" w:bottom="280" w:left="1320" w:right="1340"/>
          <w:cols w:num="2" w:equalWidth="0">
            <w:col w:w="722" w:space="40"/>
            <w:col w:w="8818"/>
          </w:cols>
        </w:sectPr>
      </w:pPr>
    </w:p>
    <w:p>
      <w:pPr>
        <w:pStyle w:val="BodyText"/>
        <w:spacing w:before="168"/>
      </w:pPr>
    </w:p>
    <w:p>
      <w:pPr>
        <w:pStyle w:val="Heading1"/>
        <w:rPr>
          <w:u w:val="none"/>
        </w:rPr>
      </w:pPr>
      <w:r>
        <w:rPr>
          <w:u w:val="single"/>
        </w:rPr>
        <w:t>NEXT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STEPS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Share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Ops</w:t>
      </w:r>
      <w:r>
        <w:rPr>
          <w:spacing w:val="-5"/>
          <w:sz w:val="24"/>
        </w:rPr>
        <w:t> </w:t>
      </w:r>
      <w:r>
        <w:rPr>
          <w:sz w:val="24"/>
        </w:rPr>
        <w:t>Memo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Manager.</w:t>
      </w:r>
    </w:p>
    <w:sectPr>
      <w:pgSz w:w="12240" w:h="15840"/>
      <w:pgMar w:header="728" w:footer="0" w:top="9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901700</wp:posOffset>
              </wp:positionH>
              <wp:positionV relativeFrom="page">
                <wp:posOffset>449792</wp:posOffset>
              </wp:positionV>
              <wp:extent cx="133921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39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Executive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Directors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5.416718pt;width:105.45pt;height:15.45pt;mso-position-horizontal-relative:page;mso-position-vertical-relative:page;z-index:-15830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Executive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Directors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3737864</wp:posOffset>
              </wp:positionH>
              <wp:positionV relativeFrom="page">
                <wp:posOffset>449792</wp:posOffset>
              </wp:positionV>
              <wp:extent cx="29718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320007pt;margin-top:35.416718pt;width:23.4pt;height:15.45pt;mso-position-horizontal-relative:page;mso-position-vertical-relative:page;z-index:-158295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9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hs.pa.gov/" TargetMode="External"/><Relationship Id="rId7" Type="http://schemas.openxmlformats.org/officeDocument/2006/relationships/header" Target="header1.xml"/><Relationship Id="rId8" Type="http://schemas.openxmlformats.org/officeDocument/2006/relationships/hyperlink" Target="https://pagov.sharepoint.com/sites/DHS-OIM/OpsMemos/CAO%20Procedure%20for%20Inter-County%20Transfers%20(ICT).docx" TargetMode="External"/><Relationship Id="rId9" Type="http://schemas.openxmlformats.org/officeDocument/2006/relationships/hyperlink" Target="http://services.dpw.state.pa.us/oimpolicymanuals/ma/IEVS_SAVE_PACSES_and_SAR_Desk_Guide_-_MA_and_CHIP_-_041423.pdf" TargetMode="External"/><Relationship Id="rId10" Type="http://schemas.openxmlformats.org/officeDocument/2006/relationships/hyperlink" Target="http://services.dpw.state.pa.us/oimpolicymanuals/ma/322_Citizen_Noncitizen/322_3_Alien_Status.htm" TargetMode="External"/><Relationship Id="rId11" Type="http://schemas.openxmlformats.org/officeDocument/2006/relationships/hyperlink" Target="http://services.dpw.state.pa.us/oimpolicymanuals/ma/316_MAWD/316_06_Premiums.htm" TargetMode="External"/><Relationship Id="rId12" Type="http://schemas.openxmlformats.org/officeDocument/2006/relationships/hyperlink" Target="http://services.dpw.state.pa.us/oimpolicymanuals/ma/316_MAWD/316_01_General_Policy.htm" TargetMode="External"/><Relationship Id="rId13" Type="http://schemas.openxmlformats.org/officeDocument/2006/relationships/hyperlink" Target="http://services.dpw.state.pa.us/oimpolicymanuals/supp/820_Disability_Advocacy_Program/820_Title.htm" TargetMode="External"/><Relationship Id="rId14" Type="http://schemas.openxmlformats.org/officeDocument/2006/relationships/hyperlink" Target="http://services.dpw.state.pa.us/oimpolicymanuals/ma/387_SSI/387_5_MA_Coverage_for_SSI_Recipients.htm" TargetMode="External"/><Relationship Id="rId15" Type="http://schemas.openxmlformats.org/officeDocument/2006/relationships/hyperlink" Target="http://services.dpw.state.pa.us/oimpolicymanuals/ma/368_Determining_Eligibility_for_NMP/368.4_NMP_Spend-Down.htm" TargetMode="External"/><Relationship Id="rId16" Type="http://schemas.openxmlformats.org/officeDocument/2006/relationships/hyperlink" Target="http://services.dpw.state.pa.us/oimpolicymanuals/ma/369_Determining_Eligibility_for_MNO/369_4_Continuing_MNO.htm" TargetMode="External"/><Relationship Id="rId17" Type="http://schemas.openxmlformats.org/officeDocument/2006/relationships/hyperlink" Target="http://services.dpw.state.pa.us/oimpolicymanuals/ltc/index.htm#t%3D468_Eligibility_and_Payment%2F468_2_MA_LTC_Eligibility_Step_1.htm" TargetMode="External"/><Relationship Id="rId18" Type="http://schemas.openxmlformats.org/officeDocument/2006/relationships/hyperlink" Target="http://services.dpw.state.pa.us/oimpolicymanuals/ma/index.htm#t%3D316_MAWD%2F316_01_General_Policy.htm" TargetMode="External"/><Relationship Id="rId19" Type="http://schemas.openxmlformats.org/officeDocument/2006/relationships/hyperlink" Target="http://services.dpw.state.pa.us/oimpolicymanuals/ma/index.htm#t%3D316_MAWD%2F316_Title.ht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PA Department of Public Welfare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dcterms:created xsi:type="dcterms:W3CDTF">2024-07-01T15:47:47Z</dcterms:created>
  <dcterms:modified xsi:type="dcterms:W3CDTF">2024-07-01T15:47:47Z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0x01010068409FBD0EE26241B74C608990210E99</vt:lpwstr>
  </property>
  <property fmtid="{D5CDD505-2E9C-101B-9397-08002B2CF9AE}" pid="3" name="Created">
    <vt:filetime>2024-07-01T00:00:00Z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3a972012f7f85121b34d26f871fcd7dd6451f0555f83fadfa4a016d0b7a70ce4</vt:lpwstr>
  </property>
  <property fmtid="{D5CDD505-2E9C-101B-9397-08002B2CF9AE}" pid="6" name="LastSaved">
    <vt:filetime>2024-07-01T00:00:00Z</vt:filetime>
  </property>
  <property fmtid="{D5CDD505-2E9C-101B-9397-08002B2CF9AE}" pid="7" name="Producer">
    <vt:lpwstr>Adobe PDF Library 24.2.23</vt:lpwstr>
  </property>
  <property fmtid="{D5CDD505-2E9C-101B-9397-08002B2CF9AE}" pid="8" name="SourceModified">
    <vt:lpwstr>D:20240701142015</vt:lpwstr>
  </property>
</Properties>
</file>